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D2" w:rsidRPr="00A97CD2" w:rsidRDefault="00A97CD2" w:rsidP="00A97C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CH"/>
        </w:rPr>
      </w:pPr>
      <w:r w:rsidRPr="00A97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CH"/>
        </w:rPr>
        <w:t>Die 2GB-Beschränkung der PST-Datei aufheben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[MS-Outlook – Versionen ab 2003 &amp; 365]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 xml:space="preserve">Die Outlook-Datendatei dient zum Speichern der Inhalte Ihrer Outlook-Module (E-Mail, Kalender, </w:t>
      </w:r>
      <w:proofErr w:type="gramStart"/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Aufgaben,…</w:t>
      </w:r>
      <w:proofErr w:type="gramEnd"/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). In der Vergangenheit war die Größe der Outlook-Datendatei (.PST) auf die maximale Größe von 2 GB beschränkt. Seit der Version 2003 gibt es diese Begrenzung allerdings nicht mehr. Trotzdem gibt es viele Anwender die eine Meldung erhalten, dass die maximale PST-Dateigröße erreicht wurde.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Die Krux an der Sache ist, wenn Sie zwar eine neue Outlook-Version installieren, aber es wird nicht automatisch die Datendatei in das neue Format konvertiert. Das heißt, das Format Ihrer bisherigen Outlook-Datendatei bleibt immer auf dem alten Format-Standard und damit die 2GB-Sperre erhalten.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Auch eine nachträgliche direkte Konvertierung ist nicht möglich. Aber man kann sich dafür die Im-/Export-Funktion </w:t>
      </w:r>
      <w:proofErr w:type="spellStart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zu nutze</w:t>
      </w:r>
      <w:proofErr w:type="spell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machen, denn die exportierten Daten werden immer in dem neuesten Datenformat abgespeichert. Anschließend kann man dann die neue Datendatei in Outlook </w:t>
      </w:r>
      <w:proofErr w:type="spellStart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eingebinden</w:t>
      </w:r>
      <w:proofErr w:type="spell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und die alte Datei gelöscht werden.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 xml:space="preserve">HINWEIS: 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Obwohl Sie eine 1:1 Kopie Ihrer bisherigen PST-Datei erhalten, werden Sie die von Ihnen erstellten Posteingangsregeln überarbeiten müssen, da diese noch in die „alten“ Outlook-Ordnern verweisen können. Das heißt, die Verweise müssen auf die „neuen“ Ordner umgeschrieben werden.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I. Schritt: Exportieren der Datendatei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[</w:t>
      </w: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bis 2007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]</w:t>
      </w:r>
    </w:p>
    <w:p w:rsidR="00A97CD2" w:rsidRPr="00A97CD2" w:rsidRDefault="00A97CD2" w:rsidP="00A9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Öffnen Sie Ihr Postfach in </w:t>
      </w:r>
      <w:proofErr w:type="spellStart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Outook</w:t>
      </w:r>
      <w:proofErr w:type="spell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, das Sie exportieren/konvertieren wollen.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Klicken Sie im Menü „Datei“ auf den Eintrag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Importieren/Exportieren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…“, wählen im folgenden Fenster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Exportieren in eine Datei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klicken auf „Weiter“.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Jetzt wählen Sie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Persönliche Ordner-Datei (.pst)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klicken auf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Weiter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Im weiteren Fenster können Sie anklicken, welchen Ordner (besten Falls den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 xml:space="preserve">Persönlichen 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Ordner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) Sie sichern wollen, aktivieren Sie die Option „Unterordner 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einbeziehen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klicken Sie auf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Weiter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Mit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Durchsuchen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…“ können Sie festlegen wo die Sicherung abgelegt werden und wie die Dateiname lauten soll. Zur besseren Unterscheidung benennen Sie Ihre Exportdatei mit dem Zusatz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_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NEU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Klicken Sie auf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Fertigstellen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lastRenderedPageBreak/>
        <w:t>Zum Abschluss geben Sie im Feld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Name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zur besseren Unterscheidung den Namenszusatz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_NEU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ein.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Bestätigen Sie den Exportvorgang mit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OK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[</w:t>
      </w: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bis 2013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] &amp; [</w:t>
      </w: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365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]</w:t>
      </w:r>
    </w:p>
    <w:p w:rsidR="00A97CD2" w:rsidRPr="00A97CD2" w:rsidRDefault="00A97CD2" w:rsidP="00A97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Öffnen Sie Ihr Postfach in </w:t>
      </w:r>
      <w:proofErr w:type="spellStart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Outook</w:t>
      </w:r>
      <w:proofErr w:type="spell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, das Sie exportieren/konvertieren wollen.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Klicken Sie im Register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Datei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auf den Eintrag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Öffnen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sowie auf die Schaltfläche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Importieren“ oder „Importieren/Exportieren“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, wählen im folgenden Fenster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 xml:space="preserve">In eine Datei 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e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xportieren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klicken auf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Weiter“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Jetzt wählen Sie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Outlook Datendatei (.pst)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klicken auf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Weiter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Im weiteren Fenster können Sie anklicken, welchen Ordner (besten Falls den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 xml:space="preserve">Persönlichen 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Ordner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) Sie sichern wollen, aktivieren Sie die Option „Unterordner einbeziehen“ und klicken Sie auf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Weiter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Mit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Durchsuchen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…“ können Sie festlegen wo die Sicherung abgelegt werden und wie die Dateiname lauten soll. Zur besseren Unterscheidung benennen Sie Ihre Exportdatei mit dem Zusatz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_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NEU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Klicken Sie auf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Fertigstellen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Zum Abschluss geben Sie im Feld „Name“ zur besseren Unterscheidung den Namenszusatz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_NEU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ein.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Bestätigen Sie den Exportvorgang mit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OK“.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 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II. Schritt: Neue Datendatei als Standard festlegen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[</w:t>
      </w: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bis 2003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]</w:t>
      </w:r>
    </w:p>
    <w:p w:rsidR="00A97CD2" w:rsidRPr="00A97CD2" w:rsidRDefault="00A97CD2" w:rsidP="00A97C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Klicken Sie im Menü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Datei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auf den Eintrag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Öffnen“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und anschließend auf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Outlook-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Datendatei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Markieren Sie ihre „neue“ Datendatei und betätigen Sie mit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OK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Klicken Sie im Menü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Extras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auf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Kontoeinstellung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oder „E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-Mail-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Konten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, wählen Sie noch zusätzlich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Vorhandene E-Mail-Konten anzeigen oder bearbeiten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sowie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Weiter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wechseln auf die Registerkarte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Datendateien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Markieren Sie Ihre „neue “ PST-Datei und wählen Sie aus der Drop-Down-Liste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Neue Nachrichten übermitteln an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Ihre „neue“ Datendatei und bestätigen Sie mit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 xml:space="preserve">Fertig 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stellen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lastRenderedPageBreak/>
        <w:t>Beenden Sie Outlook und starten Sie es neu, damit die Anwendung Ihr „neue“ Datendatei benutzen kann.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[</w:t>
      </w: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nur 2007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]</w:t>
      </w:r>
    </w:p>
    <w:p w:rsidR="00A97CD2" w:rsidRPr="00A97CD2" w:rsidRDefault="00A97CD2" w:rsidP="00A97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Klicken Sie im Menü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Datei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auf den Eintrag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Öffnen“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und anschließend auf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Outlook-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Datendatei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Markieren Sie ihre „neue“ Datendatei und betätigen Sie mit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OK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Klicken Sie im Menü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Extras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auf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Kontoeinstellung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oder „E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-Mail-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Konten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, und wechseln auf die Registerkarte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Datendateien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Markieren Sie Ihre „neue “ PST-Datei und klicken Sie auf die Schaltfläche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Als Standard festlegen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bestätigen Sie mit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Schließen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Beenden Sie Outlook und starten Sie es neu, damit die Anwendung Ihr „neue“ Datendatei benutzen kann.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[</w:t>
      </w: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bis 2013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] &amp; [</w:t>
      </w: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365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]</w:t>
      </w:r>
    </w:p>
    <w:p w:rsidR="00A97CD2" w:rsidRPr="00A97CD2" w:rsidRDefault="00A97CD2" w:rsidP="00A97C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Klicken Sie im Register „Datei“ auf den Eintrag „Öffnen …“ und anschließend auf </w:t>
      </w:r>
      <w:proofErr w:type="gramStart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 xml:space="preserve"> Outlook</w:t>
      </w:r>
      <w:proofErr w:type="gramEnd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-Datendatei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Markieren Sie ihre „neue“ Datendatei und betätigen Sie mit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OK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Klicken Sie im Register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Datei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auf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Information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, dann auf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Kontoeinstellungen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„, nochmals auf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Kontoeinstellungen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wechseln auf die Registerkarte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Datendateien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Markieren Sie Ihre „neue “ PST-Datei und klicken Sie auf die Schaltfläche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Als Standard festlegen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bestätigen Sie mit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Schließen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Beenden Sie Outlook und starten Sie es neu, damit die Anwendung Ihr „neue“ Datendatei benutzen kann.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III: Schritt: Entfernen der alten Datendatei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[</w:t>
      </w: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bis 2007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]</w:t>
      </w:r>
    </w:p>
    <w:p w:rsidR="00A97CD2" w:rsidRPr="00A97CD2" w:rsidRDefault="00A97CD2" w:rsidP="00A97C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Klicken Sie im Menü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Datei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auf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Dateiverwaltung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markieren Sie in der Liste Ihre „alte“ Datendatei“.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Klicken Sie auf die Schaltfläche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Entfernen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die Sicherheitsabfrage bestätigen Sie mit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Ja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endgültig mit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Schließen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lastRenderedPageBreak/>
        <w:t>.</w:t>
      </w:r>
    </w:p>
    <w:p w:rsidR="00A97CD2" w:rsidRPr="00A97CD2" w:rsidRDefault="00A97CD2" w:rsidP="00A9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[</w:t>
      </w: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bis 2013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] &amp; [</w:t>
      </w:r>
      <w:r w:rsidRPr="00A97C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365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]</w:t>
      </w:r>
    </w:p>
    <w:p w:rsidR="00A97CD2" w:rsidRPr="00A97CD2" w:rsidRDefault="00A97CD2" w:rsidP="00A97C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Klicken Sie im Register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Datei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auf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Information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, dann auf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Kontoeinstellungen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„, nochmals auf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Kontoeinstellungen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wechseln auf die Registerkarte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Datendateien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„.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Markieren Sie in der Liste Ihre „alte“ Datendatei und klicken Sie auf die Schaltfläche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Entfernen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 </w:t>
      </w:r>
    </w:p>
    <w:p w:rsidR="00A97CD2" w:rsidRPr="00A97CD2" w:rsidRDefault="00A97CD2" w:rsidP="00A97C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Die Sicherheitsabfrage bestätigen Sie mit „</w:t>
      </w:r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Ja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“ und endgültig mit „</w:t>
      </w:r>
      <w:proofErr w:type="gramStart"/>
      <w:r w:rsidRPr="00A97CD2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CH"/>
        </w:rPr>
        <w:t>Schließen</w:t>
      </w:r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„</w:t>
      </w:r>
      <w:proofErr w:type="gramEnd"/>
      <w:r w:rsidRPr="00A97CD2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.</w:t>
      </w:r>
    </w:p>
    <w:p w:rsidR="00BD0AD3" w:rsidRDefault="00BD0AD3">
      <w:bookmarkStart w:id="0" w:name="_GoBack"/>
      <w:bookmarkEnd w:id="0"/>
    </w:p>
    <w:sectPr w:rsidR="00BD0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04"/>
    <w:multiLevelType w:val="multilevel"/>
    <w:tmpl w:val="26AC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F57FE"/>
    <w:multiLevelType w:val="multilevel"/>
    <w:tmpl w:val="DF96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D0683"/>
    <w:multiLevelType w:val="multilevel"/>
    <w:tmpl w:val="1950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F6593"/>
    <w:multiLevelType w:val="multilevel"/>
    <w:tmpl w:val="12D6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4500B6"/>
    <w:multiLevelType w:val="multilevel"/>
    <w:tmpl w:val="ED10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7F589E"/>
    <w:multiLevelType w:val="multilevel"/>
    <w:tmpl w:val="D876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C61E0"/>
    <w:multiLevelType w:val="multilevel"/>
    <w:tmpl w:val="0E0C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D2"/>
    <w:rsid w:val="00A97CD2"/>
    <w:rsid w:val="00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D4E104-F24F-4FC3-94B4-49B59145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2017-01-05T21:44:00Z</dcterms:created>
  <dcterms:modified xsi:type="dcterms:W3CDTF">2017-01-05T21:45:00Z</dcterms:modified>
</cp:coreProperties>
</file>